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3E" w:rsidRDefault="002305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3053E" w:rsidRDefault="002305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05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3E" w:rsidRDefault="0023053E">
            <w:pPr>
              <w:pStyle w:val="ConsPlusNormal"/>
            </w:pPr>
            <w:r>
              <w:t>28 февраля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053E" w:rsidRDefault="0023053E">
            <w:pPr>
              <w:pStyle w:val="ConsPlusNormal"/>
              <w:jc w:val="right"/>
            </w:pPr>
            <w:r>
              <w:t>N 79</w:t>
            </w:r>
          </w:p>
        </w:tc>
      </w:tr>
    </w:tbl>
    <w:p w:rsidR="0023053E" w:rsidRDefault="002305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53E" w:rsidRDefault="0023053E">
      <w:pPr>
        <w:pStyle w:val="ConsPlusNormal"/>
        <w:jc w:val="both"/>
      </w:pPr>
    </w:p>
    <w:p w:rsidR="0023053E" w:rsidRDefault="0023053E">
      <w:pPr>
        <w:pStyle w:val="ConsPlusTitle"/>
        <w:jc w:val="center"/>
      </w:pPr>
      <w:r>
        <w:t>УКАЗ</w:t>
      </w:r>
    </w:p>
    <w:p w:rsidR="0023053E" w:rsidRDefault="0023053E">
      <w:pPr>
        <w:pStyle w:val="ConsPlusTitle"/>
        <w:jc w:val="center"/>
      </w:pPr>
    </w:p>
    <w:p w:rsidR="0023053E" w:rsidRDefault="0023053E">
      <w:pPr>
        <w:pStyle w:val="ConsPlusTitle"/>
        <w:jc w:val="center"/>
      </w:pPr>
      <w:r>
        <w:t>ПРЕЗИДЕНТА РОССИЙСКОЙ ФЕДЕРАЦИИ</w:t>
      </w:r>
    </w:p>
    <w:p w:rsidR="0023053E" w:rsidRDefault="0023053E">
      <w:pPr>
        <w:pStyle w:val="ConsPlusTitle"/>
        <w:jc w:val="center"/>
      </w:pPr>
    </w:p>
    <w:p w:rsidR="0023053E" w:rsidRDefault="0023053E">
      <w:pPr>
        <w:pStyle w:val="ConsPlusTitle"/>
        <w:jc w:val="center"/>
      </w:pPr>
      <w:r>
        <w:t>О ПРИМЕНЕНИИ</w:t>
      </w:r>
    </w:p>
    <w:p w:rsidR="0023053E" w:rsidRDefault="0023053E">
      <w:pPr>
        <w:pStyle w:val="ConsPlusTitle"/>
        <w:jc w:val="center"/>
      </w:pPr>
      <w:r>
        <w:t>СПЕЦИАЛЬНЫХ ЭКОНОМИЧЕСКИХ МЕР В СВЯЗИ С НЕДРУЖЕСТВЕННЫМИ</w:t>
      </w:r>
    </w:p>
    <w:p w:rsidR="0023053E" w:rsidRDefault="0023053E">
      <w:pPr>
        <w:pStyle w:val="ConsPlusTitle"/>
        <w:jc w:val="center"/>
      </w:pPr>
      <w:r>
        <w:t>ДЕЙСТВИЯМИ СОЕДИНЕННЫХ ШТАТОВ АМЕРИКИ И ПРИМКНУВШИХ К НИМ</w:t>
      </w:r>
    </w:p>
    <w:p w:rsidR="0023053E" w:rsidRDefault="0023053E">
      <w:pPr>
        <w:pStyle w:val="ConsPlusTitle"/>
        <w:jc w:val="center"/>
      </w:pPr>
      <w:r>
        <w:t>ИНОСТРАННЫХ ГОСУДАРСТВ И МЕЖДУНАРОДНЫХ ОРГАНИЗАЦИЙ</w:t>
      </w:r>
    </w:p>
    <w:p w:rsidR="0023053E" w:rsidRDefault="00230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23.05.2022 </w:t>
            </w:r>
            <w:hyperlink r:id="rId5">
              <w:r>
                <w:rPr>
                  <w:color w:val="0000FF"/>
                </w:rPr>
                <w:t>N 303</w:t>
              </w:r>
            </w:hyperlink>
            <w:r>
              <w:rPr>
                <w:color w:val="392C69"/>
              </w:rPr>
              <w:t>,</w:t>
            </w:r>
          </w:p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09.06.2022 </w:t>
            </w:r>
            <w:hyperlink r:id="rId6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Указами Президента РФ</w:t>
            </w:r>
          </w:p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05.03.2022 </w:t>
            </w:r>
            <w:hyperlink r:id="rId7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08.03.2022 </w:t>
            </w:r>
            <w:hyperlink r:id="rId8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18.03.2022 </w:t>
            </w:r>
            <w:hyperlink r:id="rId9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,</w:t>
            </w:r>
          </w:p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31.03.2022 </w:t>
            </w:r>
            <w:hyperlink r:id="rId10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04.05.2022 </w:t>
            </w:r>
            <w:hyperlink r:id="rId11">
              <w:r>
                <w:rPr>
                  <w:color w:val="0000FF"/>
                </w:rPr>
                <w:t>N 254</w:t>
              </w:r>
            </w:hyperlink>
            <w:r>
              <w:rPr>
                <w:color w:val="392C69"/>
              </w:rPr>
              <w:t xml:space="preserve">, от 27.05.2022 </w:t>
            </w:r>
            <w:hyperlink r:id="rId12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23053E" w:rsidRDefault="002305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05.07.2022 </w:t>
            </w:r>
            <w:hyperlink r:id="rId13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08.08.2022 </w:t>
            </w:r>
            <w:hyperlink r:id="rId14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</w:tr>
    </w:tbl>
    <w:p w:rsidR="0023053E" w:rsidRDefault="0023053E">
      <w:pPr>
        <w:pStyle w:val="ConsPlusNormal"/>
        <w:jc w:val="center"/>
      </w:pPr>
    </w:p>
    <w:p w:rsidR="0023053E" w:rsidRDefault="0023053E">
      <w:pPr>
        <w:pStyle w:val="ConsPlusNormal"/>
        <w:ind w:firstLine="540"/>
        <w:jc w:val="both"/>
      </w:pPr>
      <w:r>
        <w:t xml:space="preserve">В связи с недружественными и противоречащими международному праву действиями Соединенных Штатов Америки и примкнувших к ним иностранных государств и международных организаций, связанными с введением ограничительных мер в отношении граждан Российской Федерации и российских юридических лиц, в целях защиты национальных интересов Российской Федерации и в соответствии с федеральными законами от 30 декабря 2006 г. </w:t>
      </w:r>
      <w:hyperlink r:id="rId15">
        <w:r>
          <w:rPr>
            <w:color w:val="0000FF"/>
          </w:rPr>
          <w:t>N 281-ФЗ</w:t>
        </w:r>
      </w:hyperlink>
      <w:r>
        <w:t xml:space="preserve"> "О специальных экономических мерах и принудительных мерах", от 28 декабря 2010 г. </w:t>
      </w:r>
      <w:hyperlink r:id="rId16">
        <w:r>
          <w:rPr>
            <w:color w:val="0000FF"/>
          </w:rPr>
          <w:t>N 390-ФЗ</w:t>
        </w:r>
      </w:hyperlink>
      <w:r>
        <w:t xml:space="preserve"> "О безопасности" и от 4 июня 2018 г. </w:t>
      </w:r>
      <w:hyperlink r:id="rId17">
        <w:r>
          <w:rPr>
            <w:color w:val="0000FF"/>
          </w:rPr>
          <w:t>N 127-ФЗ</w:t>
        </w:r>
      </w:hyperlink>
      <w:r>
        <w:t xml:space="preserve"> "О мерах воздействия (противодействия) на недружественные действия Соединенных Штатов Америки и иных иностранных государств" постановляю:</w:t>
      </w:r>
    </w:p>
    <w:p w:rsidR="0023053E" w:rsidRDefault="0023053E">
      <w:pPr>
        <w:pStyle w:val="ConsPlusNormal"/>
        <w:spacing w:before="220"/>
        <w:ind w:firstLine="540"/>
        <w:jc w:val="both"/>
      </w:pPr>
      <w:bookmarkStart w:id="0" w:name="P21"/>
      <w:bookmarkEnd w:id="0"/>
      <w:r>
        <w:t>1. Резидентам - участникам внешнеэкономической деятельности осуществить обязательную продажу иностранной валюты в размере 80 процентов суммы иностранной валюты, зачисленной начиная с 1 января 2022 г. на их счета в уполномоченных банках на основании внешнеторговых контрактов, заключенных с нерезидентами и предусматривающих передачу нерезидентам товаров, оказание нерезидентам услуг, выполнение для нерезидентов работ, передачу нерезидентам результатов интеллектуальной деятельности, в том числе исключительных прав на них, не позднее трех рабочих дней со дня вступления в силу настоящего Указа.</w:t>
      </w:r>
    </w:p>
    <w:p w:rsidR="0023053E" w:rsidRDefault="0023053E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2. Резиденты - участники внешнеэкономической деятельности обязаны осуществлять продажу иностранной валюты, зачисленной на их счета в уполномоченных банках на основании внешнеторговых контрактов, заключенных с нерезидентами и предусматривающих передачу нерезидентам товаров, оказание нерезидентам услуг, выполнение для нерезидентов работ, передачу нерезидентам результатов интеллектуальной деятельности, в том числе исключительных прав на них, в </w:t>
      </w:r>
      <w:hyperlink r:id="rId18">
        <w:r>
          <w:rPr>
            <w:color w:val="0000FF"/>
          </w:rPr>
          <w:t>размере</w:t>
        </w:r>
      </w:hyperlink>
      <w:r>
        <w:t>, определенном Правительственной комиссией по контролю за осуществлением иностранных инвестиций в Российской Федерации, в срок, установленный Советом директоров Центрального банка Российской Федерации.</w:t>
      </w:r>
    </w:p>
    <w:p w:rsidR="0023053E" w:rsidRDefault="0023053E">
      <w:pPr>
        <w:pStyle w:val="ConsPlusNormal"/>
        <w:jc w:val="both"/>
      </w:pPr>
      <w:r>
        <w:t xml:space="preserve">(п. 2 в ред. </w:t>
      </w:r>
      <w:hyperlink r:id="rId19">
        <w:r>
          <w:rPr>
            <w:color w:val="0000FF"/>
          </w:rPr>
          <w:t>Указа</w:t>
        </w:r>
      </w:hyperlink>
      <w:r>
        <w:t xml:space="preserve"> Президента РФ от 09.06.2022 N 360)</w:t>
      </w:r>
    </w:p>
    <w:p w:rsidR="0023053E" w:rsidRDefault="00230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 xml:space="preserve">Операции, предусмотренные п. 3, могут осуществляться на основании разрешений, выдаваемых </w:t>
            </w:r>
            <w:r>
              <w:rPr>
                <w:color w:val="392C69"/>
              </w:rPr>
              <w:lastRenderedPageBreak/>
              <w:t>Правительственной комиссией по контролю за осуществлением иностранных инвестиций в РФ и при необходимости содержащих условия их осуществления (</w:t>
            </w:r>
            <w:hyperlink r:id="rId20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01.03.2022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</w:tr>
    </w:tbl>
    <w:p w:rsidR="0023053E" w:rsidRDefault="0023053E">
      <w:pPr>
        <w:pStyle w:val="ConsPlusNormal"/>
        <w:spacing w:before="280"/>
        <w:ind w:firstLine="540"/>
        <w:jc w:val="both"/>
      </w:pPr>
      <w:r>
        <w:t>3. Запретить с 1 марта 2022 г.:</w:t>
      </w:r>
    </w:p>
    <w:p w:rsidR="0023053E" w:rsidRDefault="00230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 xml:space="preserve">См. </w:t>
            </w:r>
            <w:hyperlink r:id="rId21">
              <w:r>
                <w:rPr>
                  <w:color w:val="0000FF"/>
                </w:rPr>
                <w:t>случаи</w:t>
              </w:r>
            </w:hyperlink>
            <w:r>
              <w:rPr>
                <w:color w:val="392C69"/>
              </w:rPr>
              <w:t>, в которых разрешено предоставлять нерезидентам иностранную валюту по договорам займа.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</w:tr>
    </w:tbl>
    <w:p w:rsidR="0023053E" w:rsidRDefault="0023053E">
      <w:pPr>
        <w:pStyle w:val="ConsPlusNormal"/>
        <w:spacing w:before="280"/>
        <w:ind w:firstLine="540"/>
        <w:jc w:val="both"/>
      </w:pPr>
      <w:r>
        <w:t>а) осуществление валютных операций, связанных с предоставлением резидентами в пользу нерезидентов иностранной валюты по договорам займа;</w:t>
      </w:r>
    </w:p>
    <w:p w:rsidR="0023053E" w:rsidRDefault="00230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Пп. "б" п. 3 применяется при перечислении резидентами средств, полученных в виде дивидендов от российских АО либо при распределении прибыли российских ООО, товариществ и кооперативов (</w:t>
            </w:r>
            <w:hyperlink r:id="rId22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05.07.2022 N 430). См. случаи, в которых разрешен перевод валюты за рубеж.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</w:tr>
    </w:tbl>
    <w:p w:rsidR="0023053E" w:rsidRDefault="0023053E">
      <w:pPr>
        <w:pStyle w:val="ConsPlusNormal"/>
        <w:spacing w:before="280"/>
        <w:ind w:firstLine="540"/>
        <w:jc w:val="both"/>
      </w:pPr>
      <w:r>
        <w:t>б) 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организациях финансового рынка,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услуг.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 xml:space="preserve">4. Определить, что порядок осуществления продажи иностранной валюты на основании </w:t>
      </w:r>
      <w:hyperlink w:anchor="P21">
        <w:r>
          <w:rPr>
            <w:color w:val="0000FF"/>
          </w:rPr>
          <w:t>пунктов 1</w:t>
        </w:r>
      </w:hyperlink>
      <w:r>
        <w:t xml:space="preserve"> и </w:t>
      </w:r>
      <w:hyperlink w:anchor="P22">
        <w:r>
          <w:rPr>
            <w:color w:val="0000FF"/>
          </w:rPr>
          <w:t>2</w:t>
        </w:r>
      </w:hyperlink>
      <w:r>
        <w:t xml:space="preserve"> настоящего Указа устанавливается Центральным банком Российской Федерации.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 xml:space="preserve">4.1. Предоставить Совету директоров Центрального банка Российской Федерации полномочие определять иной, чем установленный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Указа, срок исполнения резидентами - участниками внешнеэкономической деятельности обязанности по продаже иностранной валюты.</w:t>
      </w:r>
    </w:p>
    <w:p w:rsidR="0023053E" w:rsidRDefault="0023053E">
      <w:pPr>
        <w:pStyle w:val="ConsPlusNormal"/>
        <w:jc w:val="both"/>
      </w:pPr>
      <w:r>
        <w:t xml:space="preserve">(п. 4.1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09.06.2022 N 360)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 xml:space="preserve">5. Установить, что требования об обязательной продаже иностранной валюты, предусмотренные </w:t>
      </w:r>
      <w:hyperlink w:anchor="P21">
        <w:r>
          <w:rPr>
            <w:color w:val="0000FF"/>
          </w:rPr>
          <w:t>пунктами 1</w:t>
        </w:r>
      </w:hyperlink>
      <w:r>
        <w:t xml:space="preserve"> и </w:t>
      </w:r>
      <w:hyperlink w:anchor="P22">
        <w:r>
          <w:rPr>
            <w:color w:val="0000FF"/>
          </w:rPr>
          <w:t>2</w:t>
        </w:r>
      </w:hyperlink>
      <w:r>
        <w:t xml:space="preserve"> настоящего Указа, распространяются на резидентов, являющихся стороной внешнеторговых контрактов, независимо от постановки таких контрактов на учет в уполномоченных банках в соответствии с положениями </w:t>
      </w:r>
      <w:hyperlink r:id="rId24">
        <w:r>
          <w:rPr>
            <w:color w:val="0000FF"/>
          </w:rPr>
          <w:t>инструкции</w:t>
        </w:r>
      </w:hyperlink>
      <w:r>
        <w:t xml:space="preserve"> Центрального банка Российской Федерации от 16 августа 2017 г. N 181-И "О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операций, о единых формах учета и отчетности по валютным операциям, порядке и сроках их представления".</w:t>
      </w:r>
    </w:p>
    <w:p w:rsidR="0023053E" w:rsidRDefault="00230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Перечень специальных условий приобретения ПАО размещенных ими акций сокращен и срок их применения ограничен 31.08.2022 (</w:t>
            </w:r>
            <w:hyperlink r:id="rId25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08.03.2022 N 46-ФЗ (ред. от 14.03.2022).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</w:tr>
    </w:tbl>
    <w:p w:rsidR="0023053E" w:rsidRDefault="0023053E">
      <w:pPr>
        <w:pStyle w:val="ConsPlusNormal"/>
        <w:spacing w:before="280"/>
        <w:ind w:firstLine="540"/>
        <w:jc w:val="both"/>
      </w:pPr>
      <w:bookmarkStart w:id="2" w:name="P39"/>
      <w:bookmarkEnd w:id="2"/>
      <w:r>
        <w:t>6. Разрешить публичным акционерным обществам до 31 декабря 2022 г. включительно приобретать размещенные ими акции (за исключением приобретения размещенных акций в целях сокращения их общего количества) при наличии в совокупности следующих условий: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lastRenderedPageBreak/>
        <w:t>а) приобретаемые акции допущены к организованным торгам;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>б) средневзвешенная цена приобретаемых акций, определенная за любые три месяца начиная с 1 февраля 2022 г., снизилась по сравнению со средневзвешенной ценой таких акций, определенной за три месяца начиная с 1 января 2021 г., на 20 и более процентов;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>в) значение основного индекса фондового рынка, рассчитанное организатором торговли за любые три месяца начиная с 1 февраля 2022 г., снизилось по сравнению со значением такого индекса, рассчитанным организатором торговли за три месяца начиная с 1 января 2021 г., на 20 и более процентов;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>г) акции приобретаются на организованных торгах на основании заявок, адресованных неограниченному кругу участников торгов;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>д) приобретение акций осуществляется брокером по поручению публичного акционерного общества;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>е) советом директоров (наблюдательным советом) публичного акционерного общества принято решение о приобретении размещенных им акций в соответствии с требованиями настоящего Указа, определяющее категории (типы) приобретаемых акций, количество приобретаемых акций каждой категории (типа), срок, в течение которого осуществляется приобретение акций и который должен истекать не позднее 31 декабря 2022 г. Информация, касающаяся приобретения публичным акционерным обществом собственных акций, может не раскрываться в форме сообщения о существенном факте, если это предусмотрено принятым решением о приобретении акций, или раскрываться в установленный таким решением срок.</w:t>
      </w:r>
    </w:p>
    <w:p w:rsidR="0023053E" w:rsidRDefault="0023053E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7. Установить, что публичное акционерное общество, осуществляющее приобретение выпущенных им акций в соответствии с настоящим Указом, обязано направить в Центральный банк Российской Федерации уведомление об осуществлении приобретения акций с приложением документов, подтверждающих соблюдение условий, предусмотренных </w:t>
      </w:r>
      <w:hyperlink w:anchor="P39">
        <w:r>
          <w:rPr>
            <w:color w:val="0000FF"/>
          </w:rPr>
          <w:t>пунктом 6</w:t>
        </w:r>
      </w:hyperlink>
      <w:r>
        <w:t xml:space="preserve"> настоящего Указа. Уведомление и прилагаемые к нему документы направляются в электронной форме через личный кабинет, доступ к которому предоставляется Центральным банком Российской Федерации публичному акционерному обществу в соответствии с </w:t>
      </w:r>
      <w:hyperlink r:id="rId26">
        <w:r>
          <w:rPr>
            <w:color w:val="0000FF"/>
          </w:rPr>
          <w:t>частью третьей статьи 76.9</w:t>
        </w:r>
      </w:hyperlink>
      <w:r>
        <w:t xml:space="preserve"> Федерального закона от 10 июля 2002 г. N 86-ФЗ "О Центральном банке Российской Федерации (Банке России)".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 xml:space="preserve">8. Положения </w:t>
      </w:r>
      <w:hyperlink r:id="rId27">
        <w:r>
          <w:rPr>
            <w:color w:val="0000FF"/>
          </w:rPr>
          <w:t>пунктов 4</w:t>
        </w:r>
      </w:hyperlink>
      <w:r>
        <w:t xml:space="preserve">, </w:t>
      </w:r>
      <w:hyperlink r:id="rId28">
        <w:r>
          <w:rPr>
            <w:color w:val="0000FF"/>
          </w:rPr>
          <w:t>5</w:t>
        </w:r>
      </w:hyperlink>
      <w:r>
        <w:t xml:space="preserve">, </w:t>
      </w:r>
      <w:hyperlink r:id="rId29">
        <w:r>
          <w:rPr>
            <w:color w:val="0000FF"/>
          </w:rPr>
          <w:t>7</w:t>
        </w:r>
      </w:hyperlink>
      <w:r>
        <w:t xml:space="preserve"> и </w:t>
      </w:r>
      <w:hyperlink r:id="rId30">
        <w:r>
          <w:rPr>
            <w:color w:val="0000FF"/>
          </w:rPr>
          <w:t>8 статьи 72</w:t>
        </w:r>
      </w:hyperlink>
      <w:r>
        <w:t xml:space="preserve"> Федерального закона от 26 декабря 1995 г. N 208-ФЗ "Об акционерных обществах" применяются к публичным акционерным обществам, осуществляющим приобретение размещенных ими акций, с учетом положений </w:t>
      </w:r>
      <w:hyperlink w:anchor="P39">
        <w:r>
          <w:rPr>
            <w:color w:val="0000FF"/>
          </w:rPr>
          <w:t>пунктов 6</w:t>
        </w:r>
      </w:hyperlink>
      <w:r>
        <w:t xml:space="preserve"> и </w:t>
      </w:r>
      <w:hyperlink w:anchor="P46">
        <w:r>
          <w:rPr>
            <w:color w:val="0000FF"/>
          </w:rPr>
          <w:t>7</w:t>
        </w:r>
      </w:hyperlink>
      <w:r>
        <w:t xml:space="preserve"> настоящего Указа.</w:t>
      </w:r>
    </w:p>
    <w:p w:rsidR="0023053E" w:rsidRDefault="002305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05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053E" w:rsidRDefault="0023053E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открытии до 31.12.2023 банковского счета (вклада) в иностранной валюте физлицам см. </w:t>
            </w:r>
            <w:hyperlink r:id="rId3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08.03.2022 N 46-ФЗ.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053E" w:rsidRDefault="0023053E">
            <w:pPr>
              <w:pStyle w:val="ConsPlusNormal"/>
            </w:pPr>
          </w:p>
        </w:tc>
      </w:tr>
    </w:tbl>
    <w:p w:rsidR="0023053E" w:rsidRDefault="0023053E">
      <w:pPr>
        <w:pStyle w:val="ConsPlusNormal"/>
        <w:spacing w:before="280"/>
        <w:ind w:firstLine="540"/>
        <w:jc w:val="both"/>
      </w:pPr>
      <w:r>
        <w:t xml:space="preserve">9. Предоставить кредитным организациям право открыть банковский счет (вклад) клиенту - физическому лицу без личного присутствия открывающего счет (вклад) клиента - физического лица либо его представителя при переводе этим клиентом - физическим лицом денежных средств со своего банковского счета (вклада), открытого в одной кредитной организации, в другую кредитную организацию, если одновременно с осуществлением такого перевода кредитная организация, осуществляющая перевод денежных средств, передает кредитной организации, открывающей счет (вклад), сведения, установленные при проведении идентификации этого клиента - физического лица. Перевод денежных средств осуществляется кредитной организацией после получения согласия в письменной форме клиента - физического лица на передачу указанных сведений кредитной организации и использование их в целях заключения с клиентом - физическим лицом </w:t>
      </w:r>
      <w:r>
        <w:lastRenderedPageBreak/>
        <w:t>договора банковского счета (вклада). Способ и форма передачи указанных сведений определяются кредитными организациями самостоятельно.</w:t>
      </w:r>
    </w:p>
    <w:p w:rsidR="0023053E" w:rsidRDefault="0023053E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23053E" w:rsidRDefault="0023053E">
      <w:pPr>
        <w:pStyle w:val="ConsPlusNormal"/>
        <w:ind w:firstLine="540"/>
        <w:jc w:val="both"/>
      </w:pPr>
    </w:p>
    <w:p w:rsidR="0023053E" w:rsidRDefault="0023053E">
      <w:pPr>
        <w:pStyle w:val="ConsPlusNormal"/>
        <w:jc w:val="right"/>
      </w:pPr>
      <w:r>
        <w:t>Президент</w:t>
      </w:r>
    </w:p>
    <w:p w:rsidR="0023053E" w:rsidRDefault="0023053E">
      <w:pPr>
        <w:pStyle w:val="ConsPlusNormal"/>
        <w:jc w:val="right"/>
      </w:pPr>
      <w:r>
        <w:t>Российской Федерации</w:t>
      </w:r>
    </w:p>
    <w:p w:rsidR="0023053E" w:rsidRDefault="0023053E">
      <w:pPr>
        <w:pStyle w:val="ConsPlusNormal"/>
        <w:jc w:val="right"/>
      </w:pPr>
      <w:r>
        <w:t>В.ПУТИН</w:t>
      </w:r>
    </w:p>
    <w:p w:rsidR="0023053E" w:rsidRDefault="0023053E">
      <w:pPr>
        <w:pStyle w:val="ConsPlusNormal"/>
      </w:pPr>
      <w:r>
        <w:t>Москва, Кремль</w:t>
      </w:r>
    </w:p>
    <w:p w:rsidR="0023053E" w:rsidRDefault="0023053E">
      <w:pPr>
        <w:pStyle w:val="ConsPlusNormal"/>
        <w:spacing w:before="220"/>
      </w:pPr>
      <w:r>
        <w:t>28 февраля 2022 года</w:t>
      </w:r>
    </w:p>
    <w:p w:rsidR="0023053E" w:rsidRDefault="0023053E">
      <w:pPr>
        <w:pStyle w:val="ConsPlusNormal"/>
        <w:spacing w:before="220"/>
      </w:pPr>
      <w:r>
        <w:t>N 79</w:t>
      </w:r>
    </w:p>
    <w:p w:rsidR="0023053E" w:rsidRDefault="0023053E">
      <w:pPr>
        <w:pStyle w:val="ConsPlusNormal"/>
      </w:pPr>
    </w:p>
    <w:p w:rsidR="0023053E" w:rsidRDefault="0023053E">
      <w:pPr>
        <w:pStyle w:val="ConsPlusNormal"/>
      </w:pPr>
    </w:p>
    <w:p w:rsidR="0023053E" w:rsidRDefault="002305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450" w:rsidRDefault="00B15450">
      <w:bookmarkStart w:id="4" w:name="_GoBack"/>
      <w:bookmarkEnd w:id="4"/>
    </w:p>
    <w:sectPr w:rsidR="00B15450" w:rsidSect="00F9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E"/>
    <w:rsid w:val="0023053E"/>
    <w:rsid w:val="00B1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7C9A-600B-4BFA-99B6-06DDCD3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305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305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3FCF8EEBBEEB89E4F13721343508C065D854E38B5389FA311B656ACA4405066E9384BD2D0FEBFF60947H" TargetMode="External"/><Relationship Id="rId13" Type="http://schemas.openxmlformats.org/officeDocument/2006/relationships/hyperlink" Target="consultantplus://offline/ref=EEF37C4D9B05050BAA7596F3FD9EA6FB93FBF9EABBE0B89E4F13721343508C065D854E38B5389FA310B656ACA4405066E9384BD2D0FEBFF60947H" TargetMode="External"/><Relationship Id="rId18" Type="http://schemas.openxmlformats.org/officeDocument/2006/relationships/hyperlink" Target="consultantplus://offline/ref=EEF37C4D9B05050BAA7596F3FD9EA6FB93FEF7EDB3E1B89E4F13721343508C065D854E38B5389FA312B656ACA4405066E9384BD2D0FEBFF60947H" TargetMode="External"/><Relationship Id="rId26" Type="http://schemas.openxmlformats.org/officeDocument/2006/relationships/hyperlink" Target="consultantplus://offline/ref=EEF37C4D9B05050BAA7596F3FD9EA6FB93FFFFEABBE5B89E4F13721343508C065D854E30B43994F747F957F0E1114367EB3849D4CC0F4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F37C4D9B05050BAA7596F3FD9EA6FB93FBFDE9B2EEB89E4F13721343508C065D854E38B5389FA312B656ACA4405066E9384BD2D0FEBFF60947H" TargetMode="External"/><Relationship Id="rId7" Type="http://schemas.openxmlformats.org/officeDocument/2006/relationships/hyperlink" Target="consultantplus://offline/ref=EEF37C4D9B05050BAA7596F3FD9EA6FB93FEFEE4B2E3B89E4F13721343508C065D854E38B5389FA311B656ACA4405066E9384BD2D0FEBFF60947H" TargetMode="External"/><Relationship Id="rId12" Type="http://schemas.openxmlformats.org/officeDocument/2006/relationships/hyperlink" Target="consultantplus://offline/ref=EEF37C4D9B05050BAA7596F3FD9EA6FB93FEF9E5BAEFB89E4F13721343508C065D854E38B5389FA310B656ACA4405066E9384BD2D0FEBFF60947H" TargetMode="External"/><Relationship Id="rId17" Type="http://schemas.openxmlformats.org/officeDocument/2006/relationships/hyperlink" Target="consultantplus://offline/ref=EEF37C4D9B05050BAA7596F3FD9EA6FB93FDFEE8B9E0B89E4F13721343508C065D854E38B5389FA114B656ACA4405066E9384BD2D0FEBFF60947H" TargetMode="External"/><Relationship Id="rId25" Type="http://schemas.openxmlformats.org/officeDocument/2006/relationships/hyperlink" Target="consultantplus://offline/ref=EEF37C4D9B05050BAA7596F3FD9EA6FB93FBFDEABDE2B89E4F13721343508C065D854E38B5389EAB16B656ACA4405066E9384BD2D0FEBFF60947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F37C4D9B05050BAA7596F3FD9EA6FB93FBF8ECBDE2B89E4F13721343508C065D854E38B5389FA61EB656ACA4405066E9384BD2D0FEBFF60947H" TargetMode="External"/><Relationship Id="rId20" Type="http://schemas.openxmlformats.org/officeDocument/2006/relationships/hyperlink" Target="consultantplus://offline/ref=EEF37C4D9B05050BAA7596F3FD9EA6FB93FEFEE8BCEFB89E4F13721343508C065D854E38B5389FA217B656ACA4405066E9384BD2D0FEBFF60947H" TargetMode="External"/><Relationship Id="rId29" Type="http://schemas.openxmlformats.org/officeDocument/2006/relationships/hyperlink" Target="consultantplus://offline/ref=EEF37C4D9B05050BAA7596F3FD9EA6FB93FDFEEABBE4B89E4F13721343508C065D854E3DB63E94F747F957F0E1114367EB3849D4CC0F4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F37C4D9B05050BAA7596F3FD9EA6FB93FEF6EAB8E4B89E4F13721343508C065D854E38B5389FA310B656ACA4405066E9384BD2D0FEBFF60947H" TargetMode="External"/><Relationship Id="rId11" Type="http://schemas.openxmlformats.org/officeDocument/2006/relationships/hyperlink" Target="consultantplus://offline/ref=EEF37C4D9B05050BAA7596F3FD9EA6FB93FEF8EEBDE6B89E4F13721343508C065D854E38B5389FA310B656ACA4405066E9384BD2D0FEBFF60947H" TargetMode="External"/><Relationship Id="rId24" Type="http://schemas.openxmlformats.org/officeDocument/2006/relationships/hyperlink" Target="consultantplus://offline/ref=EEF37C4D9B05050BAA7596F3FD9EA6FB93FEF9E8BCE5B89E4F13721343508C064F851634B43C81A310A300FDE20146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EF37C4D9B05050BAA7596F3FD9EA6FB93FEF9E9BFE5B89E4F13721343508C065D854E38B5389FA310B656ACA4405066E9384BD2D0FEBFF60947H" TargetMode="External"/><Relationship Id="rId15" Type="http://schemas.openxmlformats.org/officeDocument/2006/relationships/hyperlink" Target="consultantplus://offline/ref=EEF37C4D9B05050BAA7596F3FD9EA6FB93FDFEE8BAEFB89E4F13721343508C065D854E38B5389FA21FB656ACA4405066E9384BD2D0FEBFF60947H" TargetMode="External"/><Relationship Id="rId23" Type="http://schemas.openxmlformats.org/officeDocument/2006/relationships/hyperlink" Target="consultantplus://offline/ref=EEF37C4D9B05050BAA7596F3FD9EA6FB93FEF6EAB8E4B89E4F13721343508C065D854E38B5389FA31FB656ACA4405066E9384BD2D0FEBFF60947H" TargetMode="External"/><Relationship Id="rId28" Type="http://schemas.openxmlformats.org/officeDocument/2006/relationships/hyperlink" Target="consultantplus://offline/ref=EEF37C4D9B05050BAA7596F3FD9EA6FB93FDFEEABBE4B89E4F13721343508C065D854E3DB63D94F747F957F0E1114367EB3849D4CC0F4FH" TargetMode="External"/><Relationship Id="rId10" Type="http://schemas.openxmlformats.org/officeDocument/2006/relationships/hyperlink" Target="consultantplus://offline/ref=EEF37C4D9B05050BAA7596F3FD9EA6FB93FCF8E8B2E3B89E4F13721343508C065D854E38B5389FA310B656ACA4405066E9384BD2D0FEBFF60947H" TargetMode="External"/><Relationship Id="rId19" Type="http://schemas.openxmlformats.org/officeDocument/2006/relationships/hyperlink" Target="consultantplus://offline/ref=EEF37C4D9B05050BAA7596F3FD9EA6FB93FEF6EAB8E4B89E4F13721343508C065D854E38B5389FA311B656ACA4405066E9384BD2D0FEBFF60947H" TargetMode="External"/><Relationship Id="rId31" Type="http://schemas.openxmlformats.org/officeDocument/2006/relationships/hyperlink" Target="consultantplus://offline/ref=EEF37C4D9B05050BAA7596F3FD9EA6FB93FBFDEABDE2B89E4F13721343508C065D854E38BC33CBF252E80FFCE40B5D61F3244BD60C4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F37C4D9B05050BAA7596F3FD9EA6FB93FCFCECB2EFB89E4F13721343508C065D854E38B5389FA311B656ACA4405066E9384BD2D0FEBFF60947H" TargetMode="External"/><Relationship Id="rId14" Type="http://schemas.openxmlformats.org/officeDocument/2006/relationships/hyperlink" Target="consultantplus://offline/ref=EEF37C4D9B05050BAA7596F3FD9EA6FB93FDFAEDBBE6B89E4F13721343508C065D854E38B5389FA310B656ACA4405066E9384BD2D0FEBFF60947H" TargetMode="External"/><Relationship Id="rId22" Type="http://schemas.openxmlformats.org/officeDocument/2006/relationships/hyperlink" Target="consultantplus://offline/ref=EEF37C4D9B05050BAA7596F3FD9EA6FB93FBF9EABBE0B89E4F13721343508C065D854E38B5389FA31FB656ACA4405066E9384BD2D0FEBFF60947H" TargetMode="External"/><Relationship Id="rId27" Type="http://schemas.openxmlformats.org/officeDocument/2006/relationships/hyperlink" Target="consultantplus://offline/ref=EEF37C4D9B05050BAA7596F3FD9EA6FB93FDFEEABBE4B89E4F13721343508C065D854E3DB63A94F747F957F0E1114367EB3849D4CC0F4FH" TargetMode="External"/><Relationship Id="rId30" Type="http://schemas.openxmlformats.org/officeDocument/2006/relationships/hyperlink" Target="consultantplus://offline/ref=EEF37C4D9B05050BAA7596F3FD9EA6FB93FDFEEABBE4B89E4F13721343508C065D854E3DB63F94F747F957F0E1114367EB3849D4CC0F4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2023-06-14T07:56:00Z</dcterms:created>
  <dcterms:modified xsi:type="dcterms:W3CDTF">2023-06-14T07:57:00Z</dcterms:modified>
</cp:coreProperties>
</file>